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18"/>
          <w:szCs w:val="18"/>
        </w:rPr>
        <w:t xml:space="preserve">附件4：                                                        </w:t>
      </w:r>
      <w:r>
        <w:rPr>
          <w:rFonts w:hint="eastAsia" w:ascii="黑体" w:hAnsi="黑体" w:eastAsia="黑体"/>
          <w:bCs/>
          <w:sz w:val="32"/>
          <w:szCs w:val="32"/>
        </w:rPr>
        <w:t>长春工业大学人文信息学院</w:t>
      </w:r>
    </w:p>
    <w:p>
      <w:pPr>
        <w:ind w:firstLine="5320" w:firstLineChars="1900"/>
        <w:rPr>
          <w:rFonts w:hint="eastAsia"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教材选用质量监控与评价情况统计表</w:t>
      </w:r>
    </w:p>
    <w:p>
      <w:pPr>
        <w:ind w:firstLine="5341" w:firstLineChars="1900"/>
        <w:rPr>
          <w:rFonts w:ascii="黑体" w:hAnsi="黑体" w:eastAsia="黑体"/>
          <w:b/>
          <w:sz w:val="28"/>
          <w:szCs w:val="32"/>
        </w:rPr>
      </w:pPr>
    </w:p>
    <w:p>
      <w:pPr>
        <w:pStyle w:val="2"/>
        <w:spacing w:before="104"/>
        <w:ind w:left="782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2"/>
          <w:sz w:val="28"/>
          <w:szCs w:val="28"/>
          <w:lang w:eastAsia="zh-CN"/>
        </w:rPr>
        <w:t>评价学期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pacing w:val="-22"/>
          <w:sz w:val="28"/>
          <w:szCs w:val="28"/>
          <w:lang w:eastAsia="zh-CN"/>
        </w:rPr>
        <w:t xml:space="preserve"> 20    -20     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学年第     学期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  <w:lang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/>
          <w:spacing w:val="-22"/>
          <w:sz w:val="28"/>
          <w:szCs w:val="28"/>
          <w:lang w:eastAsia="zh-CN"/>
        </w:rPr>
        <w:t>填表日期：     年       月     日</w:t>
      </w:r>
    </w:p>
    <w:tbl>
      <w:tblPr>
        <w:tblStyle w:val="5"/>
        <w:tblW w:w="135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1904"/>
        <w:gridCol w:w="1704"/>
        <w:gridCol w:w="1496"/>
        <w:gridCol w:w="1704"/>
        <w:gridCol w:w="1696"/>
        <w:gridCol w:w="1200"/>
        <w:gridCol w:w="1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749" w:type="dxa"/>
          </w:tcPr>
          <w:p>
            <w:pPr>
              <w:spacing w:before="194"/>
              <w:ind w:left="837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教学单位</w:t>
            </w:r>
          </w:p>
        </w:tc>
        <w:tc>
          <w:tcPr>
            <w:tcW w:w="1904" w:type="dxa"/>
          </w:tcPr>
          <w:p>
            <w:pPr>
              <w:spacing w:before="194"/>
              <w:ind w:left="131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评价教材数量</w:t>
            </w:r>
          </w:p>
        </w:tc>
        <w:tc>
          <w:tcPr>
            <w:tcW w:w="1704" w:type="dxa"/>
            <w:vAlign w:val="center"/>
          </w:tcPr>
          <w:p>
            <w:pPr>
              <w:spacing w:before="194"/>
              <w:jc w:val="center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优秀教材</w:t>
            </w:r>
          </w:p>
        </w:tc>
        <w:tc>
          <w:tcPr>
            <w:tcW w:w="1496" w:type="dxa"/>
            <w:vAlign w:val="center"/>
          </w:tcPr>
          <w:p>
            <w:pPr>
              <w:spacing w:before="194"/>
              <w:jc w:val="center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良好教材</w:t>
            </w:r>
          </w:p>
        </w:tc>
        <w:tc>
          <w:tcPr>
            <w:tcW w:w="1704" w:type="dxa"/>
            <w:vAlign w:val="center"/>
          </w:tcPr>
          <w:p>
            <w:pPr>
              <w:spacing w:before="194"/>
              <w:jc w:val="center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合格教材</w:t>
            </w:r>
          </w:p>
        </w:tc>
        <w:tc>
          <w:tcPr>
            <w:tcW w:w="1696" w:type="dxa"/>
          </w:tcPr>
          <w:p>
            <w:pPr>
              <w:spacing w:before="194"/>
              <w:ind w:left="172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不合格教材</w:t>
            </w:r>
          </w:p>
        </w:tc>
        <w:tc>
          <w:tcPr>
            <w:tcW w:w="1200" w:type="dxa"/>
          </w:tcPr>
          <w:p>
            <w:pPr>
              <w:spacing w:before="194"/>
              <w:ind w:left="197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优良率</w:t>
            </w:r>
          </w:p>
        </w:tc>
        <w:tc>
          <w:tcPr>
            <w:tcW w:w="1132" w:type="dxa"/>
          </w:tcPr>
          <w:p>
            <w:pPr>
              <w:spacing w:before="194"/>
              <w:ind w:left="174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合格率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749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>
            <w:pP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>
      <w:pPr>
        <w:spacing w:before="39"/>
        <w:ind w:firstLine="960" w:firstLineChars="400"/>
        <w:rPr>
          <w:rFonts w:ascii="仿宋_GB2312" w:hAnsi="仿宋_GB2312" w:eastAsia="仿宋_GB2312" w:cs="仿宋_GB2312"/>
          <w:position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20"/>
          <w:sz w:val="24"/>
          <w:szCs w:val="24"/>
        </w:rPr>
        <w:t>注：评价教材的指标为：优秀、良好、合格、不合格四个等级；等级对应分数为：优秀（100-90分）、良好（89-70分）、</w:t>
      </w:r>
    </w:p>
    <w:p>
      <w:pPr>
        <w:spacing w:before="39"/>
        <w:ind w:firstLine="1440" w:firstLineChars="600"/>
        <w:rPr>
          <w:rFonts w:ascii="仿宋_GB2312" w:hAnsi="仿宋_GB2312" w:eastAsia="仿宋_GB2312" w:cs="仿宋_GB2312"/>
          <w:position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20"/>
          <w:sz w:val="24"/>
          <w:szCs w:val="24"/>
        </w:rPr>
        <w:t>合格（69-60分）、不合格（60分以下）。</w:t>
      </w:r>
    </w:p>
    <w:p>
      <w:bookmarkStart w:id="0" w:name="_GoBack"/>
      <w:bookmarkEnd w:id="0"/>
    </w:p>
    <w:sectPr>
      <w:pgSz w:w="16838" w:h="11906" w:orient="landscape"/>
      <w:pgMar w:top="1077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7E5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2024-06-05T05:37:55Z</dcterms:created>
  <dc:creator>Admin</dc:creator>
  <cp:lastModifiedBy>一米六块三</cp:lastModifiedBy>
  <dcterms:modified xsi:type="dcterms:W3CDTF">2024-06-05T05:38:18Z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DAB1A47C906147148C73F18F9C433B25_12</vt:lpwstr>
  </property>
</Properties>
</file>